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6570D4" w14:textId="52AA8EE7" w:rsidR="00B71492" w:rsidRPr="003B07B0" w:rsidRDefault="00B71492">
      <w:pPr>
        <w:rPr>
          <w:rFonts w:ascii="Calibri" w:hAnsi="Calibri" w:cs="Calibri"/>
          <w:sz w:val="28"/>
          <w:szCs w:val="28"/>
        </w:rPr>
      </w:pPr>
      <w:r w:rsidRPr="003B07B0">
        <w:rPr>
          <w:rFonts w:ascii="Calibri" w:hAnsi="Calibri" w:cs="Calibri"/>
          <w:sz w:val="28"/>
          <w:szCs w:val="28"/>
        </w:rPr>
        <w:t>Gone but no longer forgotten</w:t>
      </w:r>
      <w:r w:rsidR="00CA3F39">
        <w:rPr>
          <w:rFonts w:ascii="Calibri" w:hAnsi="Calibri" w:cs="Calibri"/>
          <w:sz w:val="28"/>
          <w:szCs w:val="28"/>
        </w:rPr>
        <w:t xml:space="preserve"> –the Paupers of Seaside Cemetery</w:t>
      </w:r>
    </w:p>
    <w:p w14:paraId="4CF882CE" w14:textId="0BB84CEC" w:rsidR="007C6349" w:rsidRPr="003B07B0" w:rsidRDefault="007C6349" w:rsidP="007C6349">
      <w:pPr>
        <w:pStyle w:val="NormalWeb"/>
        <w:rPr>
          <w:rFonts w:ascii="Calibri" w:hAnsi="Calibri" w:cs="Calibri"/>
          <w:sz w:val="28"/>
          <w:szCs w:val="28"/>
        </w:rPr>
      </w:pPr>
      <w:r w:rsidRPr="003B07B0">
        <w:rPr>
          <w:rFonts w:ascii="Calibri" w:hAnsi="Calibri" w:cs="Calibri"/>
          <w:sz w:val="28"/>
          <w:szCs w:val="28"/>
        </w:rPr>
        <w:t xml:space="preserve">Between 1905 and 1930, the City Home Lot in Lanesville’s Seaside Cemetery was the burial site for paupers and those otherwise unable to afford a burial plot, those who were unidentified or unclaimed by family, and those who died at the City Home (the Almshouse). Fourteen of those buried in the City Lot are unnamed. Three maps of the City Home Lot </w:t>
      </w:r>
      <w:r w:rsidR="00CA3F39">
        <w:rPr>
          <w:rFonts w:ascii="Calibri" w:hAnsi="Calibri" w:cs="Calibri"/>
          <w:sz w:val="28"/>
          <w:szCs w:val="28"/>
        </w:rPr>
        <w:t xml:space="preserve">were all that </w:t>
      </w:r>
      <w:r w:rsidRPr="003B07B0">
        <w:rPr>
          <w:rFonts w:ascii="Calibri" w:hAnsi="Calibri" w:cs="Calibri"/>
          <w:sz w:val="28"/>
          <w:szCs w:val="28"/>
        </w:rPr>
        <w:t>exist</w:t>
      </w:r>
      <w:r w:rsidR="00CA3F39">
        <w:rPr>
          <w:rFonts w:ascii="Calibri" w:hAnsi="Calibri" w:cs="Calibri"/>
          <w:sz w:val="28"/>
          <w:szCs w:val="28"/>
        </w:rPr>
        <w:t>ed</w:t>
      </w:r>
      <w:r w:rsidRPr="003B07B0">
        <w:rPr>
          <w:rFonts w:ascii="Calibri" w:hAnsi="Calibri" w:cs="Calibri"/>
          <w:sz w:val="28"/>
          <w:szCs w:val="28"/>
        </w:rPr>
        <w:t xml:space="preserve"> and it is from them</w:t>
      </w:r>
      <w:r w:rsidR="00CA3F39">
        <w:rPr>
          <w:rFonts w:ascii="Calibri" w:hAnsi="Calibri" w:cs="Calibri"/>
          <w:sz w:val="28"/>
          <w:szCs w:val="28"/>
        </w:rPr>
        <w:t xml:space="preserve"> – with many hours of research by Sharron Cohen --</w:t>
      </w:r>
      <w:r w:rsidRPr="003B07B0">
        <w:rPr>
          <w:rFonts w:ascii="Calibri" w:hAnsi="Calibri" w:cs="Calibri"/>
          <w:sz w:val="28"/>
          <w:szCs w:val="28"/>
        </w:rPr>
        <w:t xml:space="preserve"> that we were able to ascertain </w:t>
      </w:r>
      <w:r w:rsidR="00CA3F39">
        <w:rPr>
          <w:rFonts w:ascii="Calibri" w:hAnsi="Calibri" w:cs="Calibri"/>
          <w:sz w:val="28"/>
          <w:szCs w:val="28"/>
        </w:rPr>
        <w:t xml:space="preserve">information about </w:t>
      </w:r>
      <w:r w:rsidRPr="003B07B0">
        <w:rPr>
          <w:rFonts w:ascii="Calibri" w:hAnsi="Calibri" w:cs="Calibri"/>
          <w:sz w:val="28"/>
          <w:szCs w:val="28"/>
        </w:rPr>
        <w:t>those buried here.</w:t>
      </w:r>
    </w:p>
    <w:p w14:paraId="74BEF645" w14:textId="4263CE7E" w:rsidR="007C6349" w:rsidRPr="003B07B0" w:rsidRDefault="007C6349" w:rsidP="007C6349">
      <w:pPr>
        <w:pStyle w:val="NormalWeb"/>
        <w:rPr>
          <w:rFonts w:ascii="Calibri" w:hAnsi="Calibri" w:cs="Calibri"/>
          <w:sz w:val="28"/>
          <w:szCs w:val="28"/>
        </w:rPr>
      </w:pPr>
      <w:r w:rsidRPr="003B07B0">
        <w:rPr>
          <w:rFonts w:ascii="Calibri" w:hAnsi="Calibri" w:cs="Calibri"/>
          <w:sz w:val="28"/>
          <w:szCs w:val="28"/>
        </w:rPr>
        <w:t xml:space="preserve">The </w:t>
      </w:r>
      <w:r w:rsidR="00CA3F39">
        <w:rPr>
          <w:rFonts w:ascii="Calibri" w:hAnsi="Calibri" w:cs="Calibri"/>
          <w:sz w:val="28"/>
          <w:szCs w:val="28"/>
        </w:rPr>
        <w:t xml:space="preserve">data </w:t>
      </w:r>
      <w:r w:rsidRPr="003B07B0">
        <w:rPr>
          <w:rFonts w:ascii="Calibri" w:hAnsi="Calibri" w:cs="Calibri"/>
          <w:sz w:val="28"/>
          <w:szCs w:val="28"/>
        </w:rPr>
        <w:t xml:space="preserve">paints a remarkably vivid picture of life in Gloucester in the first quarter of the 20th century. Those who lie in the City Home Lot were overwhelmingly immigrants, most from Finland and Nova Scotia, who worked in the fishing and quarrying industries. While many immigrants succeeded in creating better lives and giving their children more advantages than they had had, some fell victim to tuberculosis and the influenza epidemic, early widowhood, drug and alcohol, or simply fateful mishaps. They have been largely overlooked and forgotten. </w:t>
      </w:r>
    </w:p>
    <w:p w14:paraId="0D665033" w14:textId="2D3FCFCB" w:rsidR="00B71492" w:rsidRPr="003B07B0" w:rsidRDefault="007C6349">
      <w:pPr>
        <w:rPr>
          <w:rFonts w:ascii="Calibri" w:hAnsi="Calibri" w:cs="Calibri"/>
          <w:sz w:val="28"/>
          <w:szCs w:val="28"/>
        </w:rPr>
      </w:pPr>
      <w:r w:rsidRPr="003B07B0">
        <w:rPr>
          <w:rFonts w:ascii="Calibri" w:hAnsi="Calibri" w:cs="Calibri"/>
          <w:sz w:val="28"/>
          <w:szCs w:val="28"/>
        </w:rPr>
        <w:t>In 2022,</w:t>
      </w:r>
      <w:r w:rsidR="00B71492" w:rsidRPr="003B07B0">
        <w:rPr>
          <w:rFonts w:ascii="Calibri" w:hAnsi="Calibri" w:cs="Calibri"/>
          <w:sz w:val="28"/>
          <w:szCs w:val="28"/>
        </w:rPr>
        <w:t xml:space="preserve"> a family from Nova Scotia contacted Sharron Cohen </w:t>
      </w:r>
      <w:r w:rsidRPr="003B07B0">
        <w:rPr>
          <w:rFonts w:ascii="Calibri" w:hAnsi="Calibri" w:cs="Calibri"/>
          <w:sz w:val="28"/>
          <w:szCs w:val="28"/>
        </w:rPr>
        <w:t xml:space="preserve"> (she had posted information on the Find-A-Grave site) </w:t>
      </w:r>
      <w:r w:rsidR="00B71492" w:rsidRPr="003B07B0">
        <w:rPr>
          <w:rFonts w:ascii="Calibri" w:hAnsi="Calibri" w:cs="Calibri"/>
          <w:sz w:val="28"/>
          <w:szCs w:val="28"/>
        </w:rPr>
        <w:t xml:space="preserve">and then, through her, the Cemeteries Advisory Committee.  They wanted to have a memorial placed in the Seaside Cemetery to commemorate the death of their ancestor, Ebenezer Devine.  He had been a fisherman and died in the harbor while in Gloucester. </w:t>
      </w:r>
      <w:r w:rsidRPr="003B07B0">
        <w:rPr>
          <w:rFonts w:ascii="Calibri" w:hAnsi="Calibri" w:cs="Calibri"/>
          <w:sz w:val="28"/>
          <w:szCs w:val="28"/>
        </w:rPr>
        <w:t xml:space="preserve">Like others in the Paupers’ Lot, at that time, he had no family who could pay for his burial. </w:t>
      </w:r>
      <w:r w:rsidR="00B71492" w:rsidRPr="003B07B0">
        <w:rPr>
          <w:rFonts w:ascii="Calibri" w:hAnsi="Calibri" w:cs="Calibri"/>
          <w:sz w:val="28"/>
          <w:szCs w:val="28"/>
        </w:rPr>
        <w:t xml:space="preserve"> </w:t>
      </w:r>
      <w:r w:rsidRPr="003B07B0">
        <w:rPr>
          <w:rFonts w:ascii="Calibri" w:hAnsi="Calibri" w:cs="Calibri"/>
          <w:sz w:val="28"/>
          <w:szCs w:val="28"/>
        </w:rPr>
        <w:t xml:space="preserve">Although upon his death in Gloucester, he was without the means to return his body to Nova Scotia, he was not a man without family.  </w:t>
      </w:r>
      <w:r w:rsidR="003454B7" w:rsidRPr="003B07B0">
        <w:rPr>
          <w:rFonts w:ascii="Calibri" w:hAnsi="Calibri" w:cs="Calibri"/>
          <w:sz w:val="28"/>
          <w:szCs w:val="28"/>
        </w:rPr>
        <w:t>He was married and the father of 12 children</w:t>
      </w:r>
      <w:r w:rsidR="00CA3F39">
        <w:rPr>
          <w:rFonts w:ascii="Calibri" w:hAnsi="Calibri" w:cs="Calibri"/>
          <w:sz w:val="28"/>
          <w:szCs w:val="28"/>
        </w:rPr>
        <w:t xml:space="preserve">.  </w:t>
      </w:r>
      <w:r w:rsidRPr="003B07B0">
        <w:rPr>
          <w:rFonts w:ascii="Calibri" w:hAnsi="Calibri" w:cs="Calibri"/>
          <w:sz w:val="28"/>
          <w:szCs w:val="28"/>
        </w:rPr>
        <w:t>His descendants never forgot him.</w:t>
      </w:r>
      <w:r w:rsidR="003454B7" w:rsidRPr="003B07B0">
        <w:rPr>
          <w:rFonts w:ascii="Calibri" w:hAnsi="Calibri" w:cs="Calibri"/>
          <w:sz w:val="28"/>
          <w:szCs w:val="28"/>
        </w:rPr>
        <w:t xml:space="preserve"> </w:t>
      </w:r>
      <w:r w:rsidR="00B71492" w:rsidRPr="003B07B0">
        <w:rPr>
          <w:rFonts w:ascii="Calibri" w:hAnsi="Calibri" w:cs="Calibri"/>
          <w:sz w:val="28"/>
          <w:szCs w:val="28"/>
        </w:rPr>
        <w:t xml:space="preserve">The lovely little ceremony that occurred on a sunny afternoon included placement of a small stone, the deposit of </w:t>
      </w:r>
      <w:r w:rsidR="003454B7" w:rsidRPr="003B07B0">
        <w:rPr>
          <w:rFonts w:ascii="Calibri" w:hAnsi="Calibri" w:cs="Calibri"/>
          <w:sz w:val="28"/>
          <w:szCs w:val="28"/>
        </w:rPr>
        <w:t>earth</w:t>
      </w:r>
      <w:r w:rsidR="00B71492" w:rsidRPr="003B07B0">
        <w:rPr>
          <w:rFonts w:ascii="Calibri" w:hAnsi="Calibri" w:cs="Calibri"/>
          <w:sz w:val="28"/>
          <w:szCs w:val="28"/>
        </w:rPr>
        <w:t xml:space="preserve"> from his Nova Scotian home and the playing of some traditional music. You can read the article that was written at that time for the </w:t>
      </w:r>
      <w:r w:rsidR="00B71492" w:rsidRPr="003B07B0">
        <w:rPr>
          <w:rFonts w:ascii="Calibri" w:hAnsi="Calibri" w:cs="Calibri"/>
          <w:i/>
          <w:iCs/>
          <w:sz w:val="28"/>
          <w:szCs w:val="28"/>
        </w:rPr>
        <w:t>Gloucester Daily Times</w:t>
      </w:r>
      <w:r w:rsidR="00B71492" w:rsidRPr="003B07B0">
        <w:rPr>
          <w:rFonts w:ascii="Calibri" w:hAnsi="Calibri" w:cs="Calibri"/>
          <w:sz w:val="28"/>
          <w:szCs w:val="28"/>
        </w:rPr>
        <w:t xml:space="preserve"> here </w:t>
      </w:r>
      <w:hyperlink r:id="rId4" w:history="1">
        <w:r w:rsidR="00B71492" w:rsidRPr="003B07B0">
          <w:rPr>
            <w:rStyle w:val="Hyperlink"/>
            <w:rFonts w:ascii="Calibri" w:hAnsi="Calibri" w:cs="Calibri"/>
            <w:sz w:val="28"/>
            <w:szCs w:val="28"/>
          </w:rPr>
          <w:t>https://gloucester-ma.gov/DocumentCenter/View/9086/Gloucester-Daily-Times-Ebenezer-Devine-article-Sept-2-2022?bidId=</w:t>
        </w:r>
      </w:hyperlink>
      <w:r w:rsidR="00B71492" w:rsidRPr="003B07B0">
        <w:rPr>
          <w:rFonts w:ascii="Calibri" w:hAnsi="Calibri" w:cs="Calibri"/>
          <w:sz w:val="28"/>
          <w:szCs w:val="28"/>
        </w:rPr>
        <w:t xml:space="preserve"> </w:t>
      </w:r>
      <w:r w:rsidR="00F30A06">
        <w:rPr>
          <w:rFonts w:ascii="Calibri" w:hAnsi="Calibri" w:cs="Calibri"/>
          <w:sz w:val="28"/>
          <w:szCs w:val="28"/>
        </w:rPr>
        <w:t xml:space="preserve">(mistakenly places the stone in Langsford Street Cemetery) </w:t>
      </w:r>
      <w:r w:rsidR="00B71492" w:rsidRPr="003B07B0">
        <w:rPr>
          <w:rFonts w:ascii="Calibri" w:hAnsi="Calibri" w:cs="Calibri"/>
          <w:sz w:val="28"/>
          <w:szCs w:val="28"/>
        </w:rPr>
        <w:t xml:space="preserve"> His family felt that he deserved this recognition, but little </w:t>
      </w:r>
      <w:r w:rsidR="00B71492" w:rsidRPr="003B07B0">
        <w:rPr>
          <w:rFonts w:ascii="Calibri" w:hAnsi="Calibri" w:cs="Calibri"/>
          <w:sz w:val="28"/>
          <w:szCs w:val="28"/>
        </w:rPr>
        <w:lastRenderedPageBreak/>
        <w:t xml:space="preserve">realized that their actions would precipitate a much larger acknowledgement of the Paupers.  </w:t>
      </w:r>
    </w:p>
    <w:p w14:paraId="53C5A157" w14:textId="3897583A" w:rsidR="0074117F" w:rsidRPr="003B07B0" w:rsidRDefault="00B71492">
      <w:pPr>
        <w:rPr>
          <w:rFonts w:ascii="Calibri" w:hAnsi="Calibri" w:cs="Calibri"/>
          <w:sz w:val="28"/>
          <w:szCs w:val="28"/>
        </w:rPr>
      </w:pPr>
      <w:r w:rsidRPr="003B07B0">
        <w:rPr>
          <w:rFonts w:ascii="Calibri" w:hAnsi="Calibri" w:cs="Calibri"/>
          <w:sz w:val="28"/>
          <w:szCs w:val="28"/>
        </w:rPr>
        <w:t>Once the Committee became aware of the Paupers’ section, we began a project to have their names permanently</w:t>
      </w:r>
      <w:r w:rsidR="003B07B0">
        <w:rPr>
          <w:rFonts w:ascii="Calibri" w:hAnsi="Calibri" w:cs="Calibri"/>
          <w:sz w:val="28"/>
          <w:szCs w:val="28"/>
        </w:rPr>
        <w:t xml:space="preserve"> </w:t>
      </w:r>
      <w:r w:rsidR="003B07B0" w:rsidRPr="003B07B0">
        <w:rPr>
          <w:rFonts w:ascii="Calibri" w:hAnsi="Calibri" w:cs="Calibri"/>
          <w:sz w:val="28"/>
          <w:szCs w:val="28"/>
        </w:rPr>
        <w:t>memorialized</w:t>
      </w:r>
      <w:r w:rsidRPr="003B07B0">
        <w:rPr>
          <w:rFonts w:ascii="Calibri" w:hAnsi="Calibri" w:cs="Calibri"/>
          <w:sz w:val="28"/>
          <w:szCs w:val="28"/>
        </w:rPr>
        <w:t>.  Sharron</w:t>
      </w:r>
      <w:r w:rsidR="007C6349" w:rsidRPr="003B07B0">
        <w:rPr>
          <w:rFonts w:ascii="Calibri" w:hAnsi="Calibri" w:cs="Calibri"/>
          <w:sz w:val="28"/>
          <w:szCs w:val="28"/>
        </w:rPr>
        <w:t xml:space="preserve"> Cohen</w:t>
      </w:r>
      <w:r w:rsidRPr="003B07B0">
        <w:rPr>
          <w:rFonts w:ascii="Calibri" w:hAnsi="Calibri" w:cs="Calibri"/>
          <w:sz w:val="28"/>
          <w:szCs w:val="28"/>
        </w:rPr>
        <w:t xml:space="preserve"> did the incredible work of discovering, </w:t>
      </w:r>
      <w:proofErr w:type="gramStart"/>
      <w:r w:rsidRPr="003B07B0">
        <w:rPr>
          <w:rFonts w:ascii="Calibri" w:hAnsi="Calibri" w:cs="Calibri"/>
          <w:sz w:val="28"/>
          <w:szCs w:val="28"/>
        </w:rPr>
        <w:t>through the use of</w:t>
      </w:r>
      <w:proofErr w:type="gramEnd"/>
      <w:r w:rsidRPr="003B07B0">
        <w:rPr>
          <w:rFonts w:ascii="Calibri" w:hAnsi="Calibri" w:cs="Calibri"/>
          <w:sz w:val="28"/>
          <w:szCs w:val="28"/>
        </w:rPr>
        <w:t xml:space="preserve"> old cemetery maps and death records, who else was buried in that section.  The CAC was able to post these names and their short biographies online.  </w:t>
      </w:r>
      <w:hyperlink r:id="rId5" w:history="1">
        <w:r w:rsidRPr="003B07B0">
          <w:rPr>
            <w:rStyle w:val="Hyperlink"/>
            <w:rFonts w:ascii="Calibri" w:hAnsi="Calibri" w:cs="Calibri"/>
            <w:sz w:val="28"/>
            <w:szCs w:val="28"/>
          </w:rPr>
          <w:t>https://gloucester-ma.gov/1360/Seaside-Cemetery</w:t>
        </w:r>
      </w:hyperlink>
      <w:r w:rsidRPr="003B07B0">
        <w:rPr>
          <w:rFonts w:ascii="Calibri" w:hAnsi="Calibri" w:cs="Calibri"/>
          <w:sz w:val="28"/>
          <w:szCs w:val="28"/>
        </w:rPr>
        <w:t xml:space="preserve"> </w:t>
      </w:r>
      <w:r w:rsidR="00634A63" w:rsidRPr="003B07B0">
        <w:rPr>
          <w:rFonts w:ascii="Calibri" w:hAnsi="Calibri" w:cs="Calibri"/>
          <w:sz w:val="28"/>
          <w:szCs w:val="28"/>
        </w:rPr>
        <w:t xml:space="preserve">But that </w:t>
      </w:r>
      <w:r w:rsidR="003454B7" w:rsidRPr="003B07B0">
        <w:rPr>
          <w:rFonts w:ascii="Calibri" w:hAnsi="Calibri" w:cs="Calibri"/>
          <w:sz w:val="28"/>
          <w:szCs w:val="28"/>
        </w:rPr>
        <w:t xml:space="preserve">still </w:t>
      </w:r>
      <w:r w:rsidR="00634A63" w:rsidRPr="003B07B0">
        <w:rPr>
          <w:rFonts w:ascii="Calibri" w:hAnsi="Calibri" w:cs="Calibri"/>
          <w:sz w:val="28"/>
          <w:szCs w:val="28"/>
        </w:rPr>
        <w:t>didn’t seem to be enough.</w:t>
      </w:r>
      <w:r w:rsidR="007C6349" w:rsidRPr="003B07B0">
        <w:rPr>
          <w:rFonts w:ascii="Calibri" w:hAnsi="Calibri" w:cs="Calibri"/>
          <w:sz w:val="28"/>
          <w:szCs w:val="28"/>
        </w:rPr>
        <w:t xml:space="preserve">  And </w:t>
      </w:r>
      <w:proofErr w:type="gramStart"/>
      <w:r w:rsidR="007C6349" w:rsidRPr="003B07B0">
        <w:rPr>
          <w:rFonts w:ascii="Calibri" w:hAnsi="Calibri" w:cs="Calibri"/>
          <w:sz w:val="28"/>
          <w:szCs w:val="28"/>
        </w:rPr>
        <w:t>so</w:t>
      </w:r>
      <w:proofErr w:type="gramEnd"/>
      <w:r w:rsidR="007C6349" w:rsidRPr="003B07B0">
        <w:rPr>
          <w:rFonts w:ascii="Calibri" w:hAnsi="Calibri" w:cs="Calibri"/>
          <w:sz w:val="28"/>
          <w:szCs w:val="28"/>
        </w:rPr>
        <w:t xml:space="preserve"> the project to erect a permanent</w:t>
      </w:r>
      <w:r w:rsidR="003B07B0">
        <w:rPr>
          <w:rFonts w:ascii="Calibri" w:hAnsi="Calibri" w:cs="Calibri"/>
          <w:sz w:val="28"/>
          <w:szCs w:val="28"/>
        </w:rPr>
        <w:t xml:space="preserve"> marker</w:t>
      </w:r>
      <w:r w:rsidR="007C6349" w:rsidRPr="003B07B0">
        <w:rPr>
          <w:rFonts w:ascii="Calibri" w:hAnsi="Calibri" w:cs="Calibri"/>
          <w:sz w:val="28"/>
          <w:szCs w:val="28"/>
        </w:rPr>
        <w:t xml:space="preserve"> began.  </w:t>
      </w:r>
    </w:p>
    <w:p w14:paraId="04EA643B" w14:textId="04136FD3" w:rsidR="003B07B0" w:rsidRPr="003B07B0" w:rsidRDefault="003B07B0">
      <w:pPr>
        <w:rPr>
          <w:rFonts w:ascii="Calibri" w:hAnsi="Calibri" w:cs="Calibri"/>
          <w:sz w:val="28"/>
          <w:szCs w:val="28"/>
        </w:rPr>
      </w:pPr>
      <w:r w:rsidRPr="003B07B0">
        <w:rPr>
          <w:rFonts w:ascii="Calibri" w:hAnsi="Calibri" w:cs="Calibri"/>
          <w:sz w:val="28"/>
          <w:szCs w:val="28"/>
        </w:rPr>
        <w:t>While the stone was in its planning and execution stages, Glouce</w:t>
      </w:r>
      <w:r w:rsidR="00CA3F39">
        <w:rPr>
          <w:rFonts w:ascii="Calibri" w:hAnsi="Calibri" w:cs="Calibri"/>
          <w:sz w:val="28"/>
          <w:szCs w:val="28"/>
        </w:rPr>
        <w:t>s</w:t>
      </w:r>
      <w:r w:rsidRPr="003B07B0">
        <w:rPr>
          <w:rFonts w:ascii="Calibri" w:hAnsi="Calibri" w:cs="Calibri"/>
          <w:sz w:val="28"/>
          <w:szCs w:val="28"/>
        </w:rPr>
        <w:t xml:space="preserve">ter’s 400+ celebration arrived.  The special “tour” of the Paupers’ lot invited members of the community to “become” representatives of various paupers, memorizing their life facts and stories so that the visitors to the site could wander amongst the unmarked graves and “speak” to those buried there.  The original concept and planning for this tour again belongs to Sharron with the support of the CAC.  </w:t>
      </w:r>
    </w:p>
    <w:p w14:paraId="196C65F3" w14:textId="6C653F1E" w:rsidR="00634A63" w:rsidRPr="003B07B0" w:rsidRDefault="003454B7">
      <w:pPr>
        <w:rPr>
          <w:rFonts w:ascii="Calibri" w:hAnsi="Calibri" w:cs="Calibri"/>
          <w:sz w:val="28"/>
          <w:szCs w:val="28"/>
        </w:rPr>
      </w:pPr>
      <w:r w:rsidRPr="003B07B0">
        <w:rPr>
          <w:rFonts w:ascii="Calibri" w:hAnsi="Calibri" w:cs="Calibri"/>
          <w:sz w:val="28"/>
          <w:szCs w:val="28"/>
        </w:rPr>
        <w:t>.</w:t>
      </w:r>
      <w:r w:rsidR="007C6349" w:rsidRPr="003B07B0">
        <w:rPr>
          <w:rFonts w:ascii="Calibri" w:hAnsi="Calibri" w:cs="Calibri"/>
          <w:sz w:val="28"/>
          <w:szCs w:val="28"/>
        </w:rPr>
        <w:t>W</w:t>
      </w:r>
      <w:r w:rsidR="00634A63" w:rsidRPr="003B07B0">
        <w:rPr>
          <w:rFonts w:ascii="Calibri" w:hAnsi="Calibri" w:cs="Calibri"/>
          <w:sz w:val="28"/>
          <w:szCs w:val="28"/>
        </w:rPr>
        <w:t xml:space="preserve">orking closely with </w:t>
      </w:r>
      <w:r w:rsidR="00E12408">
        <w:rPr>
          <w:rFonts w:ascii="Calibri" w:hAnsi="Calibri" w:cs="Calibri"/>
          <w:sz w:val="28"/>
          <w:szCs w:val="28"/>
        </w:rPr>
        <w:t xml:space="preserve">Mike Hale and the </w:t>
      </w:r>
      <w:r w:rsidR="00634A63" w:rsidRPr="003B07B0">
        <w:rPr>
          <w:rFonts w:ascii="Calibri" w:hAnsi="Calibri" w:cs="Calibri"/>
          <w:sz w:val="28"/>
          <w:szCs w:val="28"/>
        </w:rPr>
        <w:t>DPW,</w:t>
      </w:r>
      <w:r w:rsidR="007C6349" w:rsidRPr="003B07B0">
        <w:rPr>
          <w:rFonts w:ascii="Calibri" w:hAnsi="Calibri" w:cs="Calibri"/>
          <w:sz w:val="28"/>
          <w:szCs w:val="28"/>
        </w:rPr>
        <w:t xml:space="preserve"> who generously funded the stone and its instal</w:t>
      </w:r>
      <w:r w:rsidR="00F30A06">
        <w:rPr>
          <w:rFonts w:ascii="Calibri" w:hAnsi="Calibri" w:cs="Calibri"/>
          <w:sz w:val="28"/>
          <w:szCs w:val="28"/>
        </w:rPr>
        <w:t>lation</w:t>
      </w:r>
      <w:r w:rsidR="007C6349" w:rsidRPr="003B07B0">
        <w:rPr>
          <w:rFonts w:ascii="Calibri" w:hAnsi="Calibri" w:cs="Calibri"/>
          <w:sz w:val="28"/>
          <w:szCs w:val="28"/>
        </w:rPr>
        <w:t>,</w:t>
      </w:r>
      <w:r w:rsidR="00634A63" w:rsidRPr="003B07B0">
        <w:rPr>
          <w:rFonts w:ascii="Calibri" w:hAnsi="Calibri" w:cs="Calibri"/>
          <w:sz w:val="28"/>
          <w:szCs w:val="28"/>
        </w:rPr>
        <w:t xml:space="preserve"> the CAC </w:t>
      </w:r>
      <w:r w:rsidR="007C6349" w:rsidRPr="003B07B0">
        <w:rPr>
          <w:rFonts w:ascii="Calibri" w:hAnsi="Calibri" w:cs="Calibri"/>
          <w:sz w:val="28"/>
          <w:szCs w:val="28"/>
        </w:rPr>
        <w:t>planned</w:t>
      </w:r>
      <w:r w:rsidR="00634A63" w:rsidRPr="003B07B0">
        <w:rPr>
          <w:rFonts w:ascii="Calibri" w:hAnsi="Calibri" w:cs="Calibri"/>
          <w:sz w:val="28"/>
          <w:szCs w:val="28"/>
        </w:rPr>
        <w:t xml:space="preserve"> a simple granite marker with the names of those buried in the Paupers’ section engraved on it.  </w:t>
      </w:r>
      <w:r w:rsidR="007C6349" w:rsidRPr="003B07B0">
        <w:rPr>
          <w:rFonts w:ascii="Calibri" w:hAnsi="Calibri" w:cs="Calibri"/>
          <w:sz w:val="28"/>
          <w:szCs w:val="28"/>
        </w:rPr>
        <w:t>That</w:t>
      </w:r>
      <w:r w:rsidR="00634A63" w:rsidRPr="003B07B0">
        <w:rPr>
          <w:rFonts w:ascii="Calibri" w:hAnsi="Calibri" w:cs="Calibri"/>
          <w:sz w:val="28"/>
          <w:szCs w:val="28"/>
        </w:rPr>
        <w:t xml:space="preserve"> marker is ready and a celebration of </w:t>
      </w:r>
      <w:r w:rsidRPr="003B07B0">
        <w:rPr>
          <w:rFonts w:ascii="Calibri" w:hAnsi="Calibri" w:cs="Calibri"/>
          <w:sz w:val="28"/>
          <w:szCs w:val="28"/>
        </w:rPr>
        <w:t xml:space="preserve">its placement and </w:t>
      </w:r>
      <w:r w:rsidR="003B07B0" w:rsidRPr="003B07B0">
        <w:rPr>
          <w:rFonts w:ascii="Calibri" w:hAnsi="Calibri" w:cs="Calibri"/>
          <w:sz w:val="28"/>
          <w:szCs w:val="28"/>
        </w:rPr>
        <w:t xml:space="preserve">our remembrance of these once-forgotten lives, will rest in the cemetery permanently.  </w:t>
      </w:r>
      <w:r w:rsidR="00634A63" w:rsidRPr="003B07B0">
        <w:rPr>
          <w:rFonts w:ascii="Calibri" w:hAnsi="Calibri" w:cs="Calibri"/>
          <w:sz w:val="28"/>
          <w:szCs w:val="28"/>
        </w:rPr>
        <w:t xml:space="preserve">Everyone is invited but we want to extend a special invitation to those who represented the Dead in the </w:t>
      </w:r>
      <w:r w:rsidR="007C6349" w:rsidRPr="003B07B0">
        <w:rPr>
          <w:rFonts w:ascii="Calibri" w:hAnsi="Calibri" w:cs="Calibri"/>
          <w:sz w:val="28"/>
          <w:szCs w:val="28"/>
        </w:rPr>
        <w:t xml:space="preserve">400+ </w:t>
      </w:r>
      <w:r w:rsidR="00634A63" w:rsidRPr="003B07B0">
        <w:rPr>
          <w:rFonts w:ascii="Calibri" w:hAnsi="Calibri" w:cs="Calibri"/>
          <w:sz w:val="28"/>
          <w:szCs w:val="28"/>
        </w:rPr>
        <w:t>tour and to honor the work of Sharron Cohen</w:t>
      </w:r>
      <w:r w:rsidR="00E12408">
        <w:rPr>
          <w:rFonts w:ascii="Calibri" w:hAnsi="Calibri" w:cs="Calibri"/>
          <w:sz w:val="28"/>
          <w:szCs w:val="28"/>
        </w:rPr>
        <w:t xml:space="preserve"> and the DPW</w:t>
      </w:r>
      <w:r w:rsidR="00634A63" w:rsidRPr="003B07B0">
        <w:rPr>
          <w:rFonts w:ascii="Calibri" w:hAnsi="Calibri" w:cs="Calibri"/>
          <w:sz w:val="28"/>
          <w:szCs w:val="28"/>
        </w:rPr>
        <w:t xml:space="preserve"> in making this memorial possible.  </w:t>
      </w:r>
    </w:p>
    <w:sectPr w:rsidR="00634A63" w:rsidRPr="003B07B0" w:rsidSect="0097788A">
      <w:pgSz w:w="12240" w:h="15840"/>
      <w:pgMar w:top="1440" w:right="1440" w:bottom="1440" w:left="1440" w:header="720" w:footer="720" w:gutter="720"/>
      <w:cols w:space="5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492"/>
    <w:rsid w:val="00166EBD"/>
    <w:rsid w:val="003454B7"/>
    <w:rsid w:val="003B07B0"/>
    <w:rsid w:val="004569F2"/>
    <w:rsid w:val="004E7FD5"/>
    <w:rsid w:val="00610EE1"/>
    <w:rsid w:val="00634A63"/>
    <w:rsid w:val="006F5975"/>
    <w:rsid w:val="0074117F"/>
    <w:rsid w:val="007C6349"/>
    <w:rsid w:val="00854433"/>
    <w:rsid w:val="00946DB5"/>
    <w:rsid w:val="0097788A"/>
    <w:rsid w:val="00AB430B"/>
    <w:rsid w:val="00B71492"/>
    <w:rsid w:val="00B919CB"/>
    <w:rsid w:val="00C82C9A"/>
    <w:rsid w:val="00CA3F39"/>
    <w:rsid w:val="00E12408"/>
    <w:rsid w:val="00F1545B"/>
    <w:rsid w:val="00F30A06"/>
    <w:rsid w:val="00FD5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E338C"/>
  <w15:chartTrackingRefBased/>
  <w15:docId w15:val="{481881B0-BCEC-4E05-A769-7F8E59EBC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14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14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14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14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14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14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14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14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14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14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14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14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14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14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14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14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14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1492"/>
    <w:rPr>
      <w:rFonts w:eastAsiaTheme="majorEastAsia" w:cstheme="majorBidi"/>
      <w:color w:val="272727" w:themeColor="text1" w:themeTint="D8"/>
    </w:rPr>
  </w:style>
  <w:style w:type="paragraph" w:styleId="Title">
    <w:name w:val="Title"/>
    <w:basedOn w:val="Normal"/>
    <w:next w:val="Normal"/>
    <w:link w:val="TitleChar"/>
    <w:uiPriority w:val="10"/>
    <w:qFormat/>
    <w:rsid w:val="00B714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14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14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14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1492"/>
    <w:pPr>
      <w:spacing w:before="160"/>
      <w:jc w:val="center"/>
    </w:pPr>
    <w:rPr>
      <w:i/>
      <w:iCs/>
      <w:color w:val="404040" w:themeColor="text1" w:themeTint="BF"/>
    </w:rPr>
  </w:style>
  <w:style w:type="character" w:customStyle="1" w:styleId="QuoteChar">
    <w:name w:val="Quote Char"/>
    <w:basedOn w:val="DefaultParagraphFont"/>
    <w:link w:val="Quote"/>
    <w:uiPriority w:val="29"/>
    <w:rsid w:val="00B71492"/>
    <w:rPr>
      <w:i/>
      <w:iCs/>
      <w:color w:val="404040" w:themeColor="text1" w:themeTint="BF"/>
    </w:rPr>
  </w:style>
  <w:style w:type="paragraph" w:styleId="ListParagraph">
    <w:name w:val="List Paragraph"/>
    <w:basedOn w:val="Normal"/>
    <w:uiPriority w:val="34"/>
    <w:qFormat/>
    <w:rsid w:val="00B71492"/>
    <w:pPr>
      <w:ind w:left="720"/>
      <w:contextualSpacing/>
    </w:pPr>
  </w:style>
  <w:style w:type="character" w:styleId="IntenseEmphasis">
    <w:name w:val="Intense Emphasis"/>
    <w:basedOn w:val="DefaultParagraphFont"/>
    <w:uiPriority w:val="21"/>
    <w:qFormat/>
    <w:rsid w:val="00B71492"/>
    <w:rPr>
      <w:i/>
      <w:iCs/>
      <w:color w:val="0F4761" w:themeColor="accent1" w:themeShade="BF"/>
    </w:rPr>
  </w:style>
  <w:style w:type="paragraph" w:styleId="IntenseQuote">
    <w:name w:val="Intense Quote"/>
    <w:basedOn w:val="Normal"/>
    <w:next w:val="Normal"/>
    <w:link w:val="IntenseQuoteChar"/>
    <w:uiPriority w:val="30"/>
    <w:qFormat/>
    <w:rsid w:val="00B714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1492"/>
    <w:rPr>
      <w:i/>
      <w:iCs/>
      <w:color w:val="0F4761" w:themeColor="accent1" w:themeShade="BF"/>
    </w:rPr>
  </w:style>
  <w:style w:type="character" w:styleId="IntenseReference">
    <w:name w:val="Intense Reference"/>
    <w:basedOn w:val="DefaultParagraphFont"/>
    <w:uiPriority w:val="32"/>
    <w:qFormat/>
    <w:rsid w:val="00B71492"/>
    <w:rPr>
      <w:b/>
      <w:bCs/>
      <w:smallCaps/>
      <w:color w:val="0F4761" w:themeColor="accent1" w:themeShade="BF"/>
      <w:spacing w:val="5"/>
    </w:rPr>
  </w:style>
  <w:style w:type="character" w:styleId="Hyperlink">
    <w:name w:val="Hyperlink"/>
    <w:basedOn w:val="DefaultParagraphFont"/>
    <w:uiPriority w:val="99"/>
    <w:unhideWhenUsed/>
    <w:rsid w:val="00B71492"/>
    <w:rPr>
      <w:color w:val="467886" w:themeColor="hyperlink"/>
      <w:u w:val="single"/>
    </w:rPr>
  </w:style>
  <w:style w:type="character" w:styleId="UnresolvedMention">
    <w:name w:val="Unresolved Mention"/>
    <w:basedOn w:val="DefaultParagraphFont"/>
    <w:uiPriority w:val="99"/>
    <w:semiHidden/>
    <w:unhideWhenUsed/>
    <w:rsid w:val="00B71492"/>
    <w:rPr>
      <w:color w:val="605E5C"/>
      <w:shd w:val="clear" w:color="auto" w:fill="E1DFDD"/>
    </w:rPr>
  </w:style>
  <w:style w:type="paragraph" w:styleId="NormalWeb">
    <w:name w:val="Normal (Web)"/>
    <w:basedOn w:val="Normal"/>
    <w:uiPriority w:val="99"/>
    <w:semiHidden/>
    <w:unhideWhenUsed/>
    <w:rsid w:val="0074117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7C634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930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gloucester-ma.gov/1360/Seaside-Cemetery" TargetMode="External"/><Relationship Id="rId4" Type="http://schemas.openxmlformats.org/officeDocument/2006/relationships/hyperlink" Target="https://gloucester-ma.gov/DocumentCenter/View/9086/Gloucester-Daily-Times-Ebenezer-Devine-article-Sept-2-2022?bid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616</Words>
  <Characters>3512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Kelly</dc:creator>
  <cp:keywords/>
  <dc:description/>
  <cp:lastModifiedBy>Carol Kelly</cp:lastModifiedBy>
  <cp:revision>2</cp:revision>
  <dcterms:created xsi:type="dcterms:W3CDTF">2024-08-13T15:33:00Z</dcterms:created>
  <dcterms:modified xsi:type="dcterms:W3CDTF">2024-08-13T15:33:00Z</dcterms:modified>
</cp:coreProperties>
</file>